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63" w:rsidRDefault="00EA1063" w:rsidP="00EA1063">
      <w:pPr>
        <w:shd w:val="clear" w:color="auto" w:fill="FFFFFF"/>
        <w:spacing w:after="295"/>
        <w:ind w:left="22"/>
      </w:pPr>
      <w:bookmarkStart w:id="0" w:name="_GoBack"/>
      <w:bookmarkEnd w:id="0"/>
      <w:r>
        <w:rPr>
          <w:rFonts w:ascii="Times New Roman" w:hAnsi="Times New Roman"/>
        </w:rPr>
        <w:t>COUR D'APPEL DE</w:t>
      </w:r>
    </w:p>
    <w:p w:rsidR="00EA1063" w:rsidRDefault="00EA1063" w:rsidP="00EA1063">
      <w:pPr>
        <w:shd w:val="clear" w:color="auto" w:fill="FFFFFF"/>
      </w:pPr>
      <w:r>
        <w:rPr>
          <w:rFonts w:ascii="Times New Roman" w:hAnsi="Times New Roman"/>
          <w:spacing w:val="-3"/>
        </w:rPr>
        <w:t>TRIBUNAL DE GRANDE INSTANCE DE</w:t>
      </w:r>
    </w:p>
    <w:p w:rsidR="00EA1063" w:rsidRDefault="00EA1063" w:rsidP="00EA1063">
      <w:pPr>
        <w:shd w:val="clear" w:color="auto" w:fill="FFFFFF"/>
        <w:spacing w:before="29"/>
        <w:ind w:left="22"/>
      </w:pPr>
      <w:r>
        <w:rPr>
          <w:rFonts w:ascii="Times New Roman" w:hAnsi="Times New Roman"/>
          <w:spacing w:val="-10"/>
        </w:rPr>
        <w:t>Le procureur de la R</w:t>
      </w:r>
      <w:r>
        <w:rPr>
          <w:rFonts w:ascii="Times New Roman" w:eastAsia="Times New Roman" w:hAnsi="Times New Roman"/>
          <w:spacing w:val="-10"/>
        </w:rPr>
        <w:t>épublique</w:t>
      </w:r>
    </w:p>
    <w:p w:rsidR="00EA1063" w:rsidRDefault="00EA1063" w:rsidP="00EA1063">
      <w:pPr>
        <w:shd w:val="clear" w:color="auto" w:fill="FFFFFF"/>
        <w:spacing w:before="590" w:line="374" w:lineRule="exact"/>
        <w:ind w:left="3204" w:right="3240"/>
        <w:jc w:val="center"/>
        <w:rPr>
          <w:rFonts w:ascii="Times New Roman" w:hAnsi="Times New Roman"/>
          <w:spacing w:val="-3"/>
          <w:sz w:val="28"/>
          <w:szCs w:val="28"/>
        </w:rPr>
      </w:pPr>
      <w:r>
        <w:rPr>
          <w:rFonts w:ascii="Times New Roman" w:hAnsi="Times New Roman"/>
          <w:spacing w:val="-7"/>
          <w:sz w:val="28"/>
          <w:szCs w:val="28"/>
        </w:rPr>
        <w:t>COMPTE</w:t>
      </w:r>
      <w:r w:rsidR="003834AF">
        <w:rPr>
          <w:rFonts w:ascii="Times New Roman" w:hAnsi="Times New Roman"/>
          <w:spacing w:val="-7"/>
          <w:sz w:val="28"/>
          <w:szCs w:val="28"/>
        </w:rPr>
        <w:t>-</w:t>
      </w:r>
      <w:r>
        <w:rPr>
          <w:rFonts w:ascii="Times New Roman" w:hAnsi="Times New Roman"/>
          <w:spacing w:val="-7"/>
          <w:sz w:val="28"/>
          <w:szCs w:val="28"/>
        </w:rPr>
        <w:t>RENDU</w:t>
      </w:r>
      <w:r w:rsidR="00665FD0">
        <w:rPr>
          <w:rStyle w:val="Appelnotedebasdep"/>
          <w:rFonts w:ascii="Times New Roman" w:hAnsi="Times New Roman"/>
          <w:spacing w:val="-7"/>
          <w:sz w:val="28"/>
          <w:szCs w:val="28"/>
        </w:rPr>
        <w:footnoteReference w:id="1"/>
      </w:r>
      <w:r>
        <w:rPr>
          <w:rFonts w:ascii="Times New Roman" w:hAnsi="Times New Roman"/>
          <w:spacing w:val="-7"/>
          <w:sz w:val="28"/>
          <w:szCs w:val="28"/>
        </w:rPr>
        <w:t xml:space="preserve"> </w:t>
      </w:r>
      <w:r>
        <w:rPr>
          <w:rFonts w:ascii="Times New Roman" w:hAnsi="Times New Roman"/>
          <w:spacing w:val="-3"/>
          <w:sz w:val="28"/>
          <w:szCs w:val="28"/>
        </w:rPr>
        <w:t>COPIL TGD en date du</w:t>
      </w:r>
    </w:p>
    <w:p w:rsidR="00265FD9" w:rsidRDefault="00EA1063" w:rsidP="00EA1063">
      <w:pPr>
        <w:shd w:val="clear" w:color="auto" w:fill="FFFFFF"/>
        <w:spacing w:before="374"/>
        <w:rPr>
          <w:rFonts w:ascii="Times New Roman" w:eastAsia="Times New Roman" w:hAnsi="Times New Roman"/>
          <w:u w:val="single"/>
        </w:rPr>
      </w:pPr>
      <w:r>
        <w:rPr>
          <w:rFonts w:ascii="Times New Roman" w:hAnsi="Times New Roman"/>
          <w:u w:val="single"/>
        </w:rPr>
        <w:t>Liste des personnes pr</w:t>
      </w:r>
      <w:r>
        <w:rPr>
          <w:rFonts w:ascii="Times New Roman" w:eastAsia="Times New Roman" w:hAnsi="Times New Roman"/>
          <w:u w:val="single"/>
        </w:rPr>
        <w:t>ésentes</w:t>
      </w:r>
      <w:r w:rsidR="00C754E4">
        <w:rPr>
          <w:rStyle w:val="Appelnotedebasdep"/>
          <w:rFonts w:ascii="Times New Roman" w:eastAsia="Times New Roman" w:hAnsi="Times New Roman"/>
          <w:u w:val="single"/>
        </w:rPr>
        <w:footnoteReference w:id="2"/>
      </w:r>
      <w:r>
        <w:rPr>
          <w:rFonts w:ascii="Times New Roman" w:eastAsia="Times New Roman" w:hAnsi="Times New Roman"/>
          <w:u w:val="single"/>
        </w:rPr>
        <w:t>:</w:t>
      </w:r>
    </w:p>
    <w:p w:rsidR="00265FD9" w:rsidRPr="00265FD9" w:rsidRDefault="00265FD9" w:rsidP="00EA1063">
      <w:pPr>
        <w:widowControl w:val="0"/>
        <w:numPr>
          <w:ilvl w:val="0"/>
          <w:numId w:val="1"/>
        </w:numPr>
        <w:shd w:val="clear" w:color="auto" w:fill="FFFFFF"/>
        <w:tabs>
          <w:tab w:val="left" w:pos="713"/>
        </w:tabs>
        <w:autoSpaceDE w:val="0"/>
        <w:autoSpaceDN w:val="0"/>
        <w:adjustRightInd w:val="0"/>
        <w:spacing w:after="0" w:line="360" w:lineRule="auto"/>
        <w:ind w:left="353"/>
        <w:rPr>
          <w:rFonts w:ascii="Times New Roman" w:hAnsi="Times New Roman"/>
        </w:rPr>
      </w:pPr>
      <w:r>
        <w:rPr>
          <w:rFonts w:ascii="Times New Roman" w:hAnsi="Times New Roman"/>
        </w:rPr>
        <w:t>x, Procureur(e) de la République</w:t>
      </w:r>
      <w:r w:rsidR="00665FD0">
        <w:rPr>
          <w:rFonts w:ascii="Times New Roman" w:hAnsi="Times New Roman"/>
        </w:rPr>
        <w:t>, ou le magistrat du parquet référent TGD</w:t>
      </w:r>
    </w:p>
    <w:p w:rsidR="00EA1063" w:rsidRDefault="00EA1063" w:rsidP="00EA1063">
      <w:pPr>
        <w:widowControl w:val="0"/>
        <w:numPr>
          <w:ilvl w:val="0"/>
          <w:numId w:val="1"/>
        </w:numPr>
        <w:shd w:val="clear" w:color="auto" w:fill="FFFFFF"/>
        <w:tabs>
          <w:tab w:val="left" w:pos="713"/>
        </w:tabs>
        <w:autoSpaceDE w:val="0"/>
        <w:autoSpaceDN w:val="0"/>
        <w:adjustRightInd w:val="0"/>
        <w:spacing w:after="0" w:line="360" w:lineRule="auto"/>
        <w:ind w:left="353"/>
        <w:rPr>
          <w:rFonts w:ascii="Times New Roman" w:hAnsi="Times New Roman"/>
        </w:rPr>
      </w:pPr>
      <w:r>
        <w:rPr>
          <w:rFonts w:ascii="Times New Roman" w:eastAsia="Times New Roman" w:hAnsi="Times New Roman"/>
        </w:rPr>
        <w:t>x, Président(e) de la Chambre de la famille ou du pôle famille</w:t>
      </w:r>
      <w:r w:rsidR="0013351F">
        <w:rPr>
          <w:rFonts w:ascii="Times New Roman" w:eastAsia="Times New Roman" w:hAnsi="Times New Roman"/>
        </w:rPr>
        <w:t>/enfants</w:t>
      </w:r>
      <w:r w:rsidR="00C754E4">
        <w:rPr>
          <w:rFonts w:ascii="Times New Roman" w:eastAsia="Times New Roman" w:hAnsi="Times New Roman"/>
        </w:rPr>
        <w:t>, ou Vice-Président(e) en charge du pôle pénal</w:t>
      </w:r>
    </w:p>
    <w:p w:rsidR="00EA1063" w:rsidRDefault="00EA1063" w:rsidP="00EA1063">
      <w:pPr>
        <w:widowControl w:val="0"/>
        <w:numPr>
          <w:ilvl w:val="0"/>
          <w:numId w:val="1"/>
        </w:numPr>
        <w:shd w:val="clear" w:color="auto" w:fill="FFFFFF"/>
        <w:tabs>
          <w:tab w:val="left" w:pos="713"/>
        </w:tabs>
        <w:autoSpaceDE w:val="0"/>
        <w:autoSpaceDN w:val="0"/>
        <w:adjustRightInd w:val="0"/>
        <w:spacing w:after="0" w:line="360" w:lineRule="auto"/>
        <w:ind w:left="713" w:right="-36" w:hanging="360"/>
        <w:rPr>
          <w:rFonts w:ascii="Times New Roman" w:hAnsi="Times New Roman"/>
        </w:rPr>
      </w:pPr>
      <w:r>
        <w:rPr>
          <w:rFonts w:ascii="Times New Roman" w:eastAsia="Times New Roman" w:hAnsi="Times New Roman"/>
        </w:rPr>
        <w:t>x, Groupement de gendarmerie</w:t>
      </w:r>
    </w:p>
    <w:p w:rsidR="00EA1063" w:rsidRDefault="00EA1063" w:rsidP="00EA1063">
      <w:pPr>
        <w:widowControl w:val="0"/>
        <w:numPr>
          <w:ilvl w:val="0"/>
          <w:numId w:val="1"/>
        </w:numPr>
        <w:shd w:val="clear" w:color="auto" w:fill="FFFFFF"/>
        <w:tabs>
          <w:tab w:val="left" w:pos="713"/>
        </w:tabs>
        <w:autoSpaceDE w:val="0"/>
        <w:autoSpaceDN w:val="0"/>
        <w:adjustRightInd w:val="0"/>
        <w:spacing w:after="0" w:line="360" w:lineRule="auto"/>
        <w:ind w:left="713" w:right="1728" w:hanging="360"/>
        <w:rPr>
          <w:rFonts w:ascii="Times New Roman" w:hAnsi="Times New Roman"/>
        </w:rPr>
      </w:pPr>
      <w:r>
        <w:rPr>
          <w:rFonts w:ascii="Times New Roman" w:hAnsi="Times New Roman"/>
        </w:rPr>
        <w:t>x, Direction d</w:t>
      </w:r>
      <w:r>
        <w:rPr>
          <w:rFonts w:ascii="Times New Roman" w:eastAsia="Times New Roman" w:hAnsi="Times New Roman"/>
        </w:rPr>
        <w:t>épartementale de la Sécurité Publique</w:t>
      </w:r>
    </w:p>
    <w:p w:rsidR="00EA1063" w:rsidRDefault="00EA1063" w:rsidP="00EA1063">
      <w:pPr>
        <w:widowControl w:val="0"/>
        <w:numPr>
          <w:ilvl w:val="0"/>
          <w:numId w:val="1"/>
        </w:numPr>
        <w:shd w:val="clear" w:color="auto" w:fill="FFFFFF"/>
        <w:tabs>
          <w:tab w:val="left" w:pos="713"/>
        </w:tabs>
        <w:autoSpaceDE w:val="0"/>
        <w:autoSpaceDN w:val="0"/>
        <w:adjustRightInd w:val="0"/>
        <w:spacing w:after="0" w:line="360" w:lineRule="auto"/>
        <w:ind w:left="713" w:right="-36" w:hanging="360"/>
        <w:rPr>
          <w:rFonts w:ascii="Times New Roman" w:hAnsi="Times New Roman"/>
        </w:rPr>
      </w:pPr>
      <w:r>
        <w:rPr>
          <w:rFonts w:ascii="Times New Roman" w:eastAsia="Times New Roman" w:hAnsi="Times New Roman"/>
        </w:rPr>
        <w:t>x, Direction régionale d’insertion et de probation</w:t>
      </w:r>
    </w:p>
    <w:p w:rsidR="00EA1063" w:rsidRDefault="00EA1063" w:rsidP="00EA1063">
      <w:pPr>
        <w:widowControl w:val="0"/>
        <w:numPr>
          <w:ilvl w:val="0"/>
          <w:numId w:val="1"/>
        </w:numPr>
        <w:shd w:val="clear" w:color="auto" w:fill="FFFFFF"/>
        <w:tabs>
          <w:tab w:val="left" w:pos="713"/>
        </w:tabs>
        <w:autoSpaceDE w:val="0"/>
        <w:autoSpaceDN w:val="0"/>
        <w:adjustRightInd w:val="0"/>
        <w:spacing w:after="0" w:line="360" w:lineRule="auto"/>
        <w:ind w:left="353"/>
        <w:rPr>
          <w:rFonts w:ascii="Times New Roman" w:hAnsi="Times New Roman"/>
        </w:rPr>
      </w:pPr>
      <w:r>
        <w:rPr>
          <w:rFonts w:ascii="Times New Roman" w:hAnsi="Times New Roman"/>
        </w:rPr>
        <w:t>x, Association d'aide aux victimes référente pour le TGD</w:t>
      </w:r>
    </w:p>
    <w:p w:rsidR="00EA1063" w:rsidRPr="002E09A0" w:rsidRDefault="0013351F" w:rsidP="002E09A0">
      <w:pPr>
        <w:widowControl w:val="0"/>
        <w:numPr>
          <w:ilvl w:val="0"/>
          <w:numId w:val="1"/>
        </w:numPr>
        <w:shd w:val="clear" w:color="auto" w:fill="FFFFFF"/>
        <w:tabs>
          <w:tab w:val="left" w:pos="713"/>
        </w:tabs>
        <w:autoSpaceDE w:val="0"/>
        <w:autoSpaceDN w:val="0"/>
        <w:adjustRightInd w:val="0"/>
        <w:spacing w:after="0" w:line="360" w:lineRule="auto"/>
        <w:ind w:left="353"/>
        <w:rPr>
          <w:rFonts w:ascii="Times New Roman" w:hAnsi="Times New Roman"/>
        </w:rPr>
      </w:pPr>
      <w:r w:rsidRPr="0013351F">
        <w:rPr>
          <w:rFonts w:ascii="Times New Roman" w:hAnsi="Times New Roman"/>
          <w:sz w:val="24"/>
          <w:szCs w:val="24"/>
        </w:rPr>
        <w:t>x, Association en charge des enquêtes sociales rapides et/ou du suivi des contrôles judiciaires.</w:t>
      </w:r>
    </w:p>
    <w:p w:rsidR="00EA1063" w:rsidRDefault="00EA1063" w:rsidP="00EA1063">
      <w:pPr>
        <w:jc w:val="center"/>
      </w:pPr>
      <w:r>
        <w:rPr>
          <w:rFonts w:ascii="Times New Roman" w:hAnsi="Times New Roman"/>
          <w:b/>
          <w:bCs/>
        </w:rPr>
        <w:t>***</w:t>
      </w:r>
    </w:p>
    <w:p w:rsidR="00EA1063" w:rsidRPr="00EA1063" w:rsidRDefault="00EA1063" w:rsidP="00EA1063">
      <w:pPr>
        <w:widowControl w:val="0"/>
        <w:shd w:val="clear" w:color="auto" w:fill="FFFFFF"/>
        <w:tabs>
          <w:tab w:val="left" w:pos="713"/>
        </w:tabs>
        <w:autoSpaceDE w:val="0"/>
        <w:autoSpaceDN w:val="0"/>
        <w:adjustRightInd w:val="0"/>
        <w:spacing w:after="0" w:line="360" w:lineRule="auto"/>
        <w:ind w:right="-142"/>
        <w:jc w:val="center"/>
        <w:rPr>
          <w:rFonts w:ascii="Times New Roman" w:hAnsi="Times New Roman"/>
        </w:rPr>
      </w:pPr>
      <w:r>
        <w:rPr>
          <w:rFonts w:ascii="Times New Roman" w:hAnsi="Times New Roman"/>
          <w:b/>
          <w:bCs/>
        </w:rPr>
        <w:t>Ouverture de la s</w:t>
      </w:r>
      <w:r>
        <w:rPr>
          <w:rFonts w:ascii="Times New Roman" w:eastAsia="Times New Roman" w:hAnsi="Times New Roman"/>
          <w:b/>
          <w:bCs/>
        </w:rPr>
        <w:t>éance du COPIL par Madame/Monsieur le(a) procureur(e) de la République :</w:t>
      </w:r>
    </w:p>
    <w:p w:rsidR="00440D02" w:rsidRDefault="00440D02" w:rsidP="00EA1063">
      <w:pPr>
        <w:shd w:val="clear" w:color="auto" w:fill="FFFFFF"/>
        <w:spacing w:before="310" w:line="310" w:lineRule="exact"/>
        <w:jc w:val="both"/>
        <w:rPr>
          <w:rFonts w:ascii="Times New Roman" w:hAnsi="Times New Roman"/>
        </w:rPr>
      </w:pPr>
      <w:r>
        <w:rPr>
          <w:rFonts w:ascii="Times New Roman" w:hAnsi="Times New Roman"/>
        </w:rPr>
        <w:t>Le compte-rendu du dernier COPIL n’a pas fait l’objet d’observation/ fait l’objet des observations suivantes :</w:t>
      </w:r>
    </w:p>
    <w:p w:rsidR="00440D02" w:rsidRPr="00C754E4" w:rsidRDefault="00440D02" w:rsidP="00C754E4">
      <w:pPr>
        <w:pStyle w:val="Paragraphedeliste"/>
        <w:numPr>
          <w:ilvl w:val="0"/>
          <w:numId w:val="2"/>
        </w:numPr>
        <w:shd w:val="clear" w:color="auto" w:fill="FFFFFF"/>
        <w:spacing w:before="310" w:line="310" w:lineRule="exact"/>
        <w:jc w:val="both"/>
        <w:rPr>
          <w:rFonts w:ascii="Times New Roman" w:hAnsi="Times New Roman"/>
          <w:b/>
        </w:rPr>
      </w:pPr>
      <w:r w:rsidRPr="00C754E4">
        <w:rPr>
          <w:rFonts w:ascii="Times New Roman" w:hAnsi="Times New Roman"/>
          <w:b/>
        </w:rPr>
        <w:t>Etat des stocks</w:t>
      </w:r>
    </w:p>
    <w:p w:rsidR="00645C87" w:rsidRDefault="00440D02" w:rsidP="00EA1063">
      <w:pPr>
        <w:shd w:val="clear" w:color="auto" w:fill="FFFFFF"/>
        <w:spacing w:before="310" w:line="310" w:lineRule="exact"/>
        <w:jc w:val="both"/>
        <w:rPr>
          <w:rFonts w:ascii="Times New Roman" w:eastAsia="Times New Roman" w:hAnsi="Times New Roman"/>
        </w:rPr>
      </w:pPr>
      <w:r>
        <w:rPr>
          <w:rFonts w:ascii="Times New Roman" w:hAnsi="Times New Roman"/>
        </w:rPr>
        <w:t>A ce jour, la</w:t>
      </w:r>
      <w:r w:rsidR="00EA1063">
        <w:rPr>
          <w:rFonts w:ascii="Times New Roman" w:hAnsi="Times New Roman"/>
        </w:rPr>
        <w:t xml:space="preserve"> juridiction dispose de </w:t>
      </w:r>
      <w:r w:rsidR="00EA1063">
        <w:rPr>
          <w:rFonts w:ascii="Times New Roman" w:hAnsi="Times New Roman"/>
          <w:i/>
        </w:rPr>
        <w:t>N</w:t>
      </w:r>
      <w:r w:rsidR="00EA1063">
        <w:rPr>
          <w:rFonts w:ascii="Times New Roman" w:hAnsi="Times New Roman"/>
        </w:rPr>
        <w:t xml:space="preserve"> t</w:t>
      </w:r>
      <w:r w:rsidR="00265FD9">
        <w:rPr>
          <w:rFonts w:ascii="Times New Roman" w:eastAsia="Times New Roman" w:hAnsi="Times New Roman"/>
        </w:rPr>
        <w:t xml:space="preserve">éléphones, dont </w:t>
      </w:r>
      <w:r w:rsidR="00265FD9" w:rsidRPr="00265FD9">
        <w:rPr>
          <w:rFonts w:ascii="Times New Roman" w:eastAsia="Times New Roman" w:hAnsi="Times New Roman"/>
          <w:i/>
        </w:rPr>
        <w:t>N</w:t>
      </w:r>
      <w:r w:rsidR="00265FD9">
        <w:rPr>
          <w:rFonts w:ascii="Times New Roman" w:eastAsia="Times New Roman" w:hAnsi="Times New Roman"/>
          <w:i/>
        </w:rPr>
        <w:t xml:space="preserve"> </w:t>
      </w:r>
      <w:r w:rsidR="00265FD9" w:rsidRPr="00265FD9">
        <w:rPr>
          <w:rFonts w:ascii="Times New Roman" w:eastAsia="Times New Roman" w:hAnsi="Times New Roman"/>
        </w:rPr>
        <w:t>actuellement attribués</w:t>
      </w:r>
      <w:r>
        <w:rPr>
          <w:rFonts w:ascii="Times New Roman" w:eastAsia="Times New Roman" w:hAnsi="Times New Roman"/>
        </w:rPr>
        <w:t>, et</w:t>
      </w:r>
      <w:r w:rsidRPr="00C754E4">
        <w:rPr>
          <w:rFonts w:ascii="Times New Roman" w:eastAsia="Times New Roman" w:hAnsi="Times New Roman"/>
          <w:i/>
        </w:rPr>
        <w:t xml:space="preserve"> N</w:t>
      </w:r>
      <w:r>
        <w:rPr>
          <w:rFonts w:ascii="Times New Roman" w:eastAsia="Times New Roman" w:hAnsi="Times New Roman"/>
        </w:rPr>
        <w:t xml:space="preserve"> en situation « réservée » (décision sur l’attribution du téléphone déjà prise au bénéfice de la victime mais dont la remise est différée pendant l’incarcération de l’auteur)</w:t>
      </w:r>
      <w:r w:rsidR="00265FD9" w:rsidRPr="00265FD9">
        <w:rPr>
          <w:rFonts w:ascii="Times New Roman" w:eastAsia="Times New Roman" w:hAnsi="Times New Roman"/>
        </w:rPr>
        <w:t>.</w:t>
      </w:r>
      <w:r w:rsidR="00265FD9">
        <w:rPr>
          <w:rFonts w:ascii="Times New Roman" w:eastAsia="Times New Roman" w:hAnsi="Times New Roman"/>
        </w:rPr>
        <w:t xml:space="preserve"> </w:t>
      </w:r>
    </w:p>
    <w:p w:rsidR="00440D02" w:rsidRDefault="00440D02" w:rsidP="00EA1063">
      <w:pPr>
        <w:shd w:val="clear" w:color="auto" w:fill="FFFFFF"/>
        <w:spacing w:before="310" w:line="310" w:lineRule="exact"/>
        <w:jc w:val="both"/>
        <w:rPr>
          <w:rFonts w:ascii="Times New Roman" w:eastAsia="Times New Roman" w:hAnsi="Times New Roman"/>
        </w:rPr>
      </w:pPr>
      <w:r w:rsidRPr="00C754E4">
        <w:rPr>
          <w:rFonts w:ascii="Times New Roman" w:eastAsia="Times New Roman" w:hAnsi="Times New Roman"/>
          <w:i/>
        </w:rPr>
        <w:t>N</w:t>
      </w:r>
      <w:r>
        <w:rPr>
          <w:rFonts w:ascii="Times New Roman" w:eastAsia="Times New Roman" w:hAnsi="Times New Roman"/>
        </w:rPr>
        <w:t xml:space="preserve"> téléphones sont défectueux/nécessitent d’être remplacés/sont en attente de livraison….</w:t>
      </w:r>
    </w:p>
    <w:p w:rsidR="00440D02" w:rsidRPr="00C754E4" w:rsidRDefault="00440D02" w:rsidP="00C754E4">
      <w:pPr>
        <w:pStyle w:val="Paragraphedeliste"/>
        <w:numPr>
          <w:ilvl w:val="0"/>
          <w:numId w:val="2"/>
        </w:numPr>
        <w:shd w:val="clear" w:color="auto" w:fill="FFFFFF"/>
        <w:spacing w:before="310" w:line="310" w:lineRule="exact"/>
        <w:jc w:val="both"/>
        <w:rPr>
          <w:rFonts w:ascii="Times New Roman" w:eastAsia="Times New Roman" w:hAnsi="Times New Roman"/>
          <w:b/>
        </w:rPr>
      </w:pPr>
      <w:r w:rsidRPr="00C754E4">
        <w:rPr>
          <w:rFonts w:ascii="Times New Roman" w:eastAsia="Times New Roman" w:hAnsi="Times New Roman"/>
          <w:b/>
        </w:rPr>
        <w:t>Examen des situations</w:t>
      </w:r>
    </w:p>
    <w:p w:rsidR="00440D02" w:rsidRPr="00C754E4" w:rsidRDefault="00E3479C" w:rsidP="00EA1063">
      <w:pPr>
        <w:shd w:val="clear" w:color="auto" w:fill="FFFFFF"/>
        <w:spacing w:before="310" w:line="310" w:lineRule="exact"/>
        <w:jc w:val="both"/>
        <w:rPr>
          <w:rFonts w:ascii="Times New Roman" w:hAnsi="Times New Roman"/>
          <w:bCs/>
        </w:rPr>
      </w:pPr>
      <w:r w:rsidRPr="00C754E4">
        <w:rPr>
          <w:rFonts w:ascii="Times New Roman" w:hAnsi="Times New Roman"/>
          <w:bCs/>
        </w:rPr>
        <w:t>L’association d’aide aux victimes soumet au COPIL les situations suivantes :</w:t>
      </w:r>
    </w:p>
    <w:p w:rsidR="00E3479C" w:rsidRPr="00C754E4" w:rsidRDefault="00E3479C" w:rsidP="00EA1063">
      <w:pPr>
        <w:shd w:val="clear" w:color="auto" w:fill="FFFFFF"/>
        <w:spacing w:before="310" w:line="310" w:lineRule="exact"/>
        <w:jc w:val="both"/>
        <w:rPr>
          <w:rFonts w:ascii="Times New Roman" w:hAnsi="Times New Roman"/>
          <w:bCs/>
        </w:rPr>
      </w:pPr>
      <w:r w:rsidRPr="00C754E4">
        <w:rPr>
          <w:rFonts w:ascii="Times New Roman" w:hAnsi="Times New Roman"/>
          <w:bCs/>
        </w:rPr>
        <w:lastRenderedPageBreak/>
        <w:t xml:space="preserve">- </w:t>
      </w:r>
      <w:r w:rsidRPr="00C754E4">
        <w:rPr>
          <w:rFonts w:ascii="Times New Roman" w:hAnsi="Times New Roman"/>
          <w:b/>
          <w:bCs/>
        </w:rPr>
        <w:t>Mme</w:t>
      </w:r>
      <w:r w:rsidR="000D1CEF" w:rsidRPr="00C754E4">
        <w:rPr>
          <w:rFonts w:ascii="Times New Roman" w:hAnsi="Times New Roman"/>
          <w:b/>
          <w:bCs/>
        </w:rPr>
        <w:t xml:space="preserve"> </w:t>
      </w:r>
      <w:r w:rsidRPr="00C754E4">
        <w:rPr>
          <w:rFonts w:ascii="Times New Roman" w:hAnsi="Times New Roman"/>
          <w:b/>
          <w:bCs/>
        </w:rPr>
        <w:t>Y</w:t>
      </w:r>
      <w:r w:rsidRPr="00C754E4">
        <w:rPr>
          <w:rStyle w:val="Appelnotedebasdep"/>
          <w:rFonts w:ascii="Times New Roman" w:hAnsi="Times New Roman"/>
          <w:b/>
          <w:bCs/>
        </w:rPr>
        <w:footnoteReference w:id="3"/>
      </w:r>
      <w:r w:rsidRPr="00C754E4">
        <w:rPr>
          <w:rFonts w:ascii="Times New Roman" w:hAnsi="Times New Roman"/>
          <w:b/>
          <w:bCs/>
        </w:rPr>
        <w:t>, TGD n°…</w:t>
      </w:r>
      <w:r w:rsidRPr="00C754E4">
        <w:rPr>
          <w:rFonts w:ascii="Times New Roman" w:hAnsi="Times New Roman"/>
          <w:bCs/>
        </w:rPr>
        <w:t xml:space="preserve"> souhaite sortir du dispositif qu’elle juge trop contraignant, elle a par ailleurs indiqué à l’association avoir repris depuis plusieurs semaines la vie commune avec l’auteur etc…</w:t>
      </w:r>
    </w:p>
    <w:p w:rsidR="00E3479C" w:rsidRPr="00C754E4" w:rsidRDefault="00E3479C" w:rsidP="00EA1063">
      <w:pPr>
        <w:shd w:val="clear" w:color="auto" w:fill="FFFFFF"/>
        <w:spacing w:before="310" w:line="310" w:lineRule="exact"/>
        <w:jc w:val="both"/>
        <w:rPr>
          <w:rFonts w:ascii="Times New Roman" w:hAnsi="Times New Roman"/>
          <w:bCs/>
          <w:i/>
          <w:u w:val="single"/>
        </w:rPr>
      </w:pPr>
      <w:r w:rsidRPr="00C754E4">
        <w:rPr>
          <w:rFonts w:ascii="Times New Roman" w:hAnsi="Times New Roman"/>
          <w:bCs/>
          <w:i/>
          <w:u w:val="single"/>
        </w:rPr>
        <w:t>Décision du COPIL : sortie du dispositif</w:t>
      </w:r>
    </w:p>
    <w:p w:rsidR="00E3479C" w:rsidRPr="00C754E4" w:rsidRDefault="00E3479C" w:rsidP="00EA1063">
      <w:pPr>
        <w:shd w:val="clear" w:color="auto" w:fill="FFFFFF"/>
        <w:spacing w:before="310" w:line="310" w:lineRule="exact"/>
        <w:jc w:val="both"/>
        <w:rPr>
          <w:rFonts w:ascii="Times New Roman" w:hAnsi="Times New Roman"/>
          <w:bCs/>
        </w:rPr>
      </w:pPr>
      <w:r w:rsidRPr="00C754E4">
        <w:rPr>
          <w:rFonts w:ascii="Times New Roman" w:hAnsi="Times New Roman"/>
          <w:bCs/>
        </w:rPr>
        <w:t xml:space="preserve">- </w:t>
      </w:r>
      <w:r w:rsidRPr="00C754E4">
        <w:rPr>
          <w:rFonts w:ascii="Times New Roman" w:hAnsi="Times New Roman"/>
          <w:b/>
          <w:bCs/>
        </w:rPr>
        <w:t>Mme G, TGD n°…</w:t>
      </w:r>
      <w:r w:rsidRPr="00C754E4">
        <w:rPr>
          <w:rFonts w:ascii="Times New Roman" w:hAnsi="Times New Roman"/>
          <w:bCs/>
        </w:rPr>
        <w:t xml:space="preserve"> arrive au terme des 6 mois. Un renouvellement est préconisé compte tenu du comportement de l’auteur qui demeure dangereux etc…</w:t>
      </w:r>
    </w:p>
    <w:p w:rsidR="00E3479C" w:rsidRPr="00C754E4" w:rsidRDefault="00E3479C" w:rsidP="00EA1063">
      <w:pPr>
        <w:shd w:val="clear" w:color="auto" w:fill="FFFFFF"/>
        <w:spacing w:before="310" w:line="310" w:lineRule="exact"/>
        <w:jc w:val="both"/>
        <w:rPr>
          <w:rFonts w:ascii="Times New Roman" w:hAnsi="Times New Roman"/>
          <w:bCs/>
          <w:i/>
          <w:u w:val="single"/>
        </w:rPr>
      </w:pPr>
      <w:r w:rsidRPr="00C754E4">
        <w:rPr>
          <w:rFonts w:ascii="Times New Roman" w:hAnsi="Times New Roman"/>
          <w:bCs/>
          <w:i/>
          <w:u w:val="single"/>
        </w:rPr>
        <w:t>Décision du COPIL : renouvellement du dispositif pour 6 mois</w:t>
      </w:r>
    </w:p>
    <w:p w:rsidR="00E3479C" w:rsidRPr="00C754E4" w:rsidRDefault="00E3479C" w:rsidP="00EA1063">
      <w:pPr>
        <w:shd w:val="clear" w:color="auto" w:fill="FFFFFF"/>
        <w:spacing w:before="310" w:line="310" w:lineRule="exact"/>
        <w:jc w:val="both"/>
        <w:rPr>
          <w:rFonts w:ascii="Times New Roman" w:hAnsi="Times New Roman"/>
          <w:bCs/>
        </w:rPr>
      </w:pPr>
      <w:r w:rsidRPr="00C754E4">
        <w:rPr>
          <w:rFonts w:ascii="Times New Roman" w:hAnsi="Times New Roman"/>
          <w:bCs/>
        </w:rPr>
        <w:t xml:space="preserve">- </w:t>
      </w:r>
      <w:r w:rsidRPr="00C754E4">
        <w:rPr>
          <w:rFonts w:ascii="Times New Roman" w:hAnsi="Times New Roman"/>
          <w:b/>
          <w:bCs/>
        </w:rPr>
        <w:t>Mme H, TGD n°…,</w:t>
      </w:r>
      <w:r w:rsidRPr="00C754E4">
        <w:rPr>
          <w:rFonts w:ascii="Times New Roman" w:hAnsi="Times New Roman"/>
          <w:bCs/>
        </w:rPr>
        <w:t xml:space="preserve"> est bénéficiaire du dispositif depuis le…. à la suite de faits de violences ayant conduit à la condamnation de l’auteur. Ce dernier a fait l’objet d’une révocation du sursis avec mise à l’épreuve par décision du juge de l’application des peines rendue le…, et a été incarcéré à la maison d’arrêt de…. pour une durée initiale (hors crédits de réduction de peine..) de 8 mois. Le parquet indique que d’autres peines doivent être ramenées à exécution.</w:t>
      </w:r>
    </w:p>
    <w:p w:rsidR="00E3479C" w:rsidRPr="00C754E4" w:rsidRDefault="00E3479C" w:rsidP="00EA1063">
      <w:pPr>
        <w:shd w:val="clear" w:color="auto" w:fill="FFFFFF"/>
        <w:spacing w:before="310" w:line="310" w:lineRule="exact"/>
        <w:jc w:val="both"/>
        <w:rPr>
          <w:rFonts w:ascii="Times New Roman" w:hAnsi="Times New Roman"/>
          <w:bCs/>
          <w:i/>
          <w:u w:val="single"/>
        </w:rPr>
      </w:pPr>
      <w:r w:rsidRPr="00C754E4">
        <w:rPr>
          <w:rFonts w:ascii="Times New Roman" w:hAnsi="Times New Roman"/>
          <w:bCs/>
          <w:i/>
          <w:u w:val="single"/>
        </w:rPr>
        <w:t xml:space="preserve">Décision du COPIL : restitution </w:t>
      </w:r>
      <w:r w:rsidR="000D1CEF" w:rsidRPr="00C754E4">
        <w:rPr>
          <w:rFonts w:ascii="Times New Roman" w:hAnsi="Times New Roman"/>
          <w:bCs/>
          <w:i/>
          <w:u w:val="single"/>
        </w:rPr>
        <w:t xml:space="preserve">temporaire </w:t>
      </w:r>
      <w:r w:rsidRPr="00C754E4">
        <w:rPr>
          <w:rFonts w:ascii="Times New Roman" w:hAnsi="Times New Roman"/>
          <w:bCs/>
          <w:i/>
          <w:u w:val="single"/>
        </w:rPr>
        <w:t xml:space="preserve">du dispositif, </w:t>
      </w:r>
      <w:r w:rsidR="000D1CEF" w:rsidRPr="00C754E4">
        <w:rPr>
          <w:rFonts w:ascii="Times New Roman" w:hAnsi="Times New Roman"/>
          <w:bCs/>
          <w:i/>
          <w:u w:val="single"/>
        </w:rPr>
        <w:t>et surveillance de la situation de l’auteur en vue d’une nouvelle remise en amont de la sortie de détention</w:t>
      </w:r>
      <w:r w:rsidR="007D2CBB" w:rsidRPr="00C754E4">
        <w:rPr>
          <w:rFonts w:ascii="Times New Roman" w:hAnsi="Times New Roman"/>
          <w:bCs/>
          <w:i/>
          <w:u w:val="single"/>
        </w:rPr>
        <w:t>.</w:t>
      </w:r>
    </w:p>
    <w:p w:rsidR="007D2CBB" w:rsidRPr="00C754E4" w:rsidRDefault="007D2CBB" w:rsidP="00EA1063">
      <w:pPr>
        <w:shd w:val="clear" w:color="auto" w:fill="FFFFFF"/>
        <w:spacing w:before="310" w:line="310" w:lineRule="exact"/>
        <w:jc w:val="both"/>
        <w:rPr>
          <w:rFonts w:ascii="Times New Roman" w:hAnsi="Times New Roman"/>
          <w:bCs/>
        </w:rPr>
      </w:pPr>
      <w:r w:rsidRPr="00C754E4">
        <w:rPr>
          <w:rFonts w:ascii="Times New Roman" w:hAnsi="Times New Roman"/>
          <w:b/>
          <w:bCs/>
        </w:rPr>
        <w:t>Mme J, n°</w:t>
      </w:r>
      <w:r w:rsidR="00C754E4">
        <w:rPr>
          <w:rFonts w:ascii="Times New Roman" w:hAnsi="Times New Roman"/>
          <w:b/>
          <w:bCs/>
        </w:rPr>
        <w:t xml:space="preserve"> </w:t>
      </w:r>
      <w:r w:rsidRPr="00C754E4">
        <w:rPr>
          <w:rFonts w:ascii="Times New Roman" w:hAnsi="Times New Roman"/>
          <w:b/>
          <w:bCs/>
        </w:rPr>
        <w:t>TGD…</w:t>
      </w:r>
      <w:r w:rsidRPr="00C754E4">
        <w:rPr>
          <w:rFonts w:ascii="Times New Roman" w:hAnsi="Times New Roman"/>
          <w:bCs/>
        </w:rPr>
        <w:t xml:space="preserve"> a été convoquée plusieurs fois à l’association en raison de nombreuses carences dans la réalisation des tests mensuels avec Mondial Assistance etc..</w:t>
      </w:r>
    </w:p>
    <w:p w:rsidR="007D2CBB" w:rsidRPr="00C754E4" w:rsidRDefault="007D2CBB" w:rsidP="00EA1063">
      <w:pPr>
        <w:shd w:val="clear" w:color="auto" w:fill="FFFFFF"/>
        <w:spacing w:before="310" w:line="310" w:lineRule="exact"/>
        <w:jc w:val="both"/>
        <w:rPr>
          <w:rFonts w:ascii="Times New Roman" w:hAnsi="Times New Roman"/>
          <w:bCs/>
          <w:i/>
          <w:u w:val="single"/>
        </w:rPr>
      </w:pPr>
      <w:r w:rsidRPr="00C754E4">
        <w:rPr>
          <w:rFonts w:ascii="Times New Roman" w:hAnsi="Times New Roman"/>
          <w:bCs/>
          <w:i/>
          <w:u w:val="single"/>
        </w:rPr>
        <w:t>Décision du COPIL : RV à proposer à Mme en vue d’un recadrage par l’association. Réexamen de la situation lors du prochain COPIL.</w:t>
      </w:r>
    </w:p>
    <w:p w:rsidR="00EA1063" w:rsidRDefault="00EA1063" w:rsidP="00C754E4">
      <w:pPr>
        <w:pStyle w:val="Paragraphedeliste"/>
        <w:numPr>
          <w:ilvl w:val="0"/>
          <w:numId w:val="2"/>
        </w:numPr>
        <w:shd w:val="clear" w:color="auto" w:fill="FFFFFF"/>
        <w:spacing w:before="310" w:line="310" w:lineRule="exact"/>
        <w:jc w:val="both"/>
      </w:pPr>
      <w:r w:rsidRPr="00C754E4">
        <w:rPr>
          <w:rFonts w:ascii="Times New Roman" w:hAnsi="Times New Roman"/>
          <w:b/>
          <w:bCs/>
        </w:rPr>
        <w:t>Pr</w:t>
      </w:r>
      <w:r w:rsidRPr="00C754E4">
        <w:rPr>
          <w:rFonts w:ascii="Times New Roman" w:eastAsia="Times New Roman" w:hAnsi="Times New Roman"/>
          <w:b/>
          <w:bCs/>
        </w:rPr>
        <w:t>ésentation du bilan</w:t>
      </w:r>
      <w:r w:rsidR="00C754E4">
        <w:rPr>
          <w:rStyle w:val="Appelnotedebasdep"/>
          <w:rFonts w:ascii="Times New Roman" w:eastAsia="Times New Roman" w:hAnsi="Times New Roman"/>
          <w:b/>
          <w:bCs/>
        </w:rPr>
        <w:footnoteReference w:id="4"/>
      </w:r>
      <w:r w:rsidRPr="00C754E4">
        <w:rPr>
          <w:rFonts w:ascii="Times New Roman" w:eastAsia="Times New Roman" w:hAnsi="Times New Roman"/>
          <w:b/>
          <w:bCs/>
        </w:rPr>
        <w:t xml:space="preserve"> par </w:t>
      </w:r>
      <w:r w:rsidRPr="00C754E4">
        <w:rPr>
          <w:rFonts w:ascii="Times New Roman" w:eastAsia="Times New Roman" w:hAnsi="Times New Roman"/>
          <w:b/>
          <w:bCs/>
          <w:i/>
        </w:rPr>
        <w:t>X</w:t>
      </w:r>
      <w:r w:rsidRPr="00C754E4">
        <w:rPr>
          <w:rFonts w:ascii="Times New Roman" w:eastAsia="Times New Roman" w:hAnsi="Times New Roman"/>
          <w:b/>
          <w:bCs/>
        </w:rPr>
        <w:t>, Association d'aide aux victimes référente pour le TGD :</w:t>
      </w:r>
    </w:p>
    <w:p w:rsidR="00EA1063" w:rsidRDefault="00EA1063" w:rsidP="00EA1063">
      <w:pPr>
        <w:shd w:val="clear" w:color="auto" w:fill="FFFFFF"/>
        <w:spacing w:before="302" w:line="310" w:lineRule="exact"/>
        <w:ind w:right="36"/>
        <w:jc w:val="both"/>
        <w:rPr>
          <w:rFonts w:ascii="Times New Roman" w:eastAsia="Times New Roman" w:hAnsi="Times New Roman"/>
          <w:i/>
        </w:rPr>
      </w:pPr>
      <w:r>
        <w:rPr>
          <w:rFonts w:ascii="Times New Roman" w:eastAsia="Times New Roman" w:hAnsi="Times New Roman"/>
          <w:i/>
          <w:u w:val="single"/>
        </w:rPr>
        <w:t>Concernant les bénéficiaires</w:t>
      </w:r>
      <w:r>
        <w:rPr>
          <w:rFonts w:ascii="Times New Roman" w:eastAsia="Times New Roman" w:hAnsi="Times New Roman"/>
          <w:i/>
        </w:rPr>
        <w:t> :</w:t>
      </w:r>
    </w:p>
    <w:p w:rsidR="00EA1063" w:rsidRPr="00EA1063" w:rsidRDefault="00EA1063" w:rsidP="00EA1063">
      <w:pPr>
        <w:shd w:val="clear" w:color="auto" w:fill="FFFFFF"/>
        <w:spacing w:before="302" w:line="310" w:lineRule="exact"/>
        <w:ind w:right="36"/>
        <w:jc w:val="both"/>
        <w:rPr>
          <w:rFonts w:ascii="Arial" w:eastAsia="Times New Roman" w:hAnsi="Arial" w:cs="Arial"/>
          <w:sz w:val="20"/>
          <w:szCs w:val="20"/>
        </w:rPr>
      </w:pPr>
      <w:r>
        <w:rPr>
          <w:rFonts w:ascii="Times New Roman" w:eastAsia="Times New Roman" w:hAnsi="Times New Roman"/>
          <w:i/>
        </w:rPr>
        <w:t>N</w:t>
      </w:r>
      <w:r>
        <w:rPr>
          <w:rFonts w:ascii="Times New Roman" w:eastAsia="Times New Roman" w:hAnsi="Times New Roman"/>
        </w:rPr>
        <w:t xml:space="preserve"> nouvelles femmes en bénéficient et </w:t>
      </w:r>
      <w:r>
        <w:rPr>
          <w:rFonts w:ascii="Times New Roman" w:eastAsia="Times New Roman" w:hAnsi="Times New Roman"/>
          <w:i/>
        </w:rPr>
        <w:t>N</w:t>
      </w:r>
      <w:r>
        <w:rPr>
          <w:rFonts w:ascii="Times New Roman" w:eastAsia="Times New Roman" w:hAnsi="Times New Roman"/>
        </w:rPr>
        <w:t xml:space="preserve"> en ont bénéficié dans l'année. La durée moyenne d'attribution d'un TGD est de </w:t>
      </w:r>
      <w:r>
        <w:rPr>
          <w:rFonts w:ascii="Times New Roman" w:eastAsia="Times New Roman" w:hAnsi="Times New Roman"/>
          <w:i/>
        </w:rPr>
        <w:t>N</w:t>
      </w:r>
      <w:r>
        <w:rPr>
          <w:rFonts w:ascii="Times New Roman" w:eastAsia="Times New Roman" w:hAnsi="Times New Roman"/>
        </w:rPr>
        <w:t xml:space="preserve"> mois.</w:t>
      </w:r>
    </w:p>
    <w:p w:rsidR="00EA1063" w:rsidRDefault="00EA1063" w:rsidP="00EA1063">
      <w:pPr>
        <w:shd w:val="clear" w:color="auto" w:fill="FFFFFF"/>
        <w:spacing w:before="302" w:line="310" w:lineRule="exact"/>
        <w:ind w:left="43" w:right="22"/>
        <w:jc w:val="both"/>
        <w:rPr>
          <w:rFonts w:ascii="Times New Roman" w:eastAsia="Times New Roman" w:hAnsi="Times New Roman"/>
        </w:rPr>
      </w:pPr>
      <w:r>
        <w:rPr>
          <w:rFonts w:ascii="Times New Roman" w:hAnsi="Times New Roman"/>
        </w:rPr>
        <w:t>Certaines femmes vont b</w:t>
      </w:r>
      <w:r>
        <w:rPr>
          <w:rFonts w:ascii="Times New Roman" w:eastAsia="Times New Roman" w:hAnsi="Times New Roman"/>
        </w:rPr>
        <w:t xml:space="preserve">énéficier du téléphone plusieurs fois dans l'année en fonction des entrées et sortie du conjoint violent. Au titre de l'année </w:t>
      </w:r>
      <w:r>
        <w:rPr>
          <w:rFonts w:ascii="Times New Roman" w:eastAsia="Times New Roman" w:hAnsi="Times New Roman"/>
          <w:i/>
        </w:rPr>
        <w:t>T</w:t>
      </w:r>
      <w:r>
        <w:rPr>
          <w:rFonts w:ascii="Times New Roman" w:eastAsia="Times New Roman" w:hAnsi="Times New Roman"/>
        </w:rPr>
        <w:t xml:space="preserve">, une seule femme a déclenché au moment du contact avec le compagnon. Cet appel a donné lieu à une intervention des services de police. </w:t>
      </w:r>
    </w:p>
    <w:p w:rsidR="00EA1063" w:rsidRDefault="00EA1063" w:rsidP="00EA1063">
      <w:pPr>
        <w:shd w:val="clear" w:color="auto" w:fill="FFFFFF"/>
        <w:spacing w:before="302" w:line="310" w:lineRule="exact"/>
        <w:ind w:left="43" w:right="22"/>
        <w:jc w:val="both"/>
        <w:rPr>
          <w:rFonts w:ascii="Times New Roman" w:eastAsia="Times New Roman" w:hAnsi="Times New Roman"/>
        </w:rPr>
      </w:pPr>
      <w:r>
        <w:rPr>
          <w:rFonts w:ascii="Times New Roman" w:eastAsia="Times New Roman" w:hAnsi="Times New Roman"/>
        </w:rPr>
        <w:t xml:space="preserve">Interrogées sur les bénéfices du dispositif les bénéficiaires ont formulé les remarques suivantes (bénéfices, difficultés rencontrées, souhaits…). </w:t>
      </w:r>
    </w:p>
    <w:p w:rsidR="00EA1063" w:rsidRDefault="00EA1063" w:rsidP="00EA1063">
      <w:pPr>
        <w:shd w:val="clear" w:color="auto" w:fill="FFFFFF"/>
        <w:spacing w:before="310" w:line="310" w:lineRule="exact"/>
        <w:ind w:left="43" w:right="29"/>
        <w:jc w:val="both"/>
      </w:pPr>
      <w:r>
        <w:rPr>
          <w:rFonts w:ascii="Times New Roman" w:hAnsi="Times New Roman"/>
          <w:i/>
          <w:u w:val="single"/>
        </w:rPr>
        <w:lastRenderedPageBreak/>
        <w:t>Sur la situation p</w:t>
      </w:r>
      <w:r>
        <w:rPr>
          <w:rFonts w:ascii="Times New Roman" w:eastAsia="Times New Roman" w:hAnsi="Times New Roman"/>
          <w:i/>
          <w:u w:val="single"/>
        </w:rPr>
        <w:t>énale des auteurs</w:t>
      </w:r>
      <w:r>
        <w:rPr>
          <w:rFonts w:ascii="Times New Roman" w:eastAsia="Times New Roman" w:hAnsi="Times New Roman"/>
        </w:rPr>
        <w:t xml:space="preserve">, il peut être noté qu'il s'agit principalement d'individus condamnés, une seule situation concernait un individu sous contrôle judiciaire. De manière générale il s'agit d'auteurs en récidive. Le TGD porte majoritairement sur des situations de </w:t>
      </w:r>
      <w:r w:rsidR="00FC06FC">
        <w:rPr>
          <w:rFonts w:ascii="Times New Roman" w:eastAsia="Times New Roman" w:hAnsi="Times New Roman"/>
        </w:rPr>
        <w:t>séparations violentes.</w:t>
      </w:r>
    </w:p>
    <w:p w:rsidR="00EA1063" w:rsidRDefault="00EA1063" w:rsidP="00EA1063">
      <w:pPr>
        <w:shd w:val="clear" w:color="auto" w:fill="FFFFFF"/>
        <w:spacing w:before="288" w:line="317" w:lineRule="exact"/>
        <w:ind w:left="65" w:right="29"/>
        <w:jc w:val="both"/>
        <w:rPr>
          <w:rFonts w:ascii="Times New Roman" w:eastAsia="Times New Roman" w:hAnsi="Times New Roman"/>
        </w:rPr>
      </w:pPr>
      <w:r>
        <w:rPr>
          <w:rFonts w:ascii="Times New Roman" w:hAnsi="Times New Roman"/>
        </w:rPr>
        <w:t xml:space="preserve">L'association </w:t>
      </w:r>
      <w:r>
        <w:rPr>
          <w:rFonts w:ascii="Times New Roman" w:eastAsia="Times New Roman" w:hAnsi="Times New Roman"/>
        </w:rPr>
        <w:t>évoque les conditions d'accompagnement en fonction de la situation du couple (marié ou non, procédure de divorce ou séparation), du suivi des enfants (assistance éducative ou non). L'accompagnement est assez large.</w:t>
      </w:r>
    </w:p>
    <w:p w:rsidR="007D2CBB" w:rsidRPr="00C754E4" w:rsidRDefault="007D2CBB" w:rsidP="00C754E4">
      <w:pPr>
        <w:pStyle w:val="Paragraphedeliste"/>
        <w:numPr>
          <w:ilvl w:val="0"/>
          <w:numId w:val="2"/>
        </w:numPr>
        <w:shd w:val="clear" w:color="auto" w:fill="FFFFFF"/>
        <w:spacing w:before="295" w:line="317" w:lineRule="exact"/>
        <w:ind w:right="36"/>
        <w:jc w:val="both"/>
        <w:rPr>
          <w:rFonts w:ascii="Times New Roman" w:hAnsi="Times New Roman"/>
          <w:b/>
          <w:sz w:val="24"/>
          <w:szCs w:val="24"/>
        </w:rPr>
      </w:pPr>
      <w:r w:rsidRPr="00C754E4">
        <w:rPr>
          <w:rFonts w:ascii="Times New Roman" w:hAnsi="Times New Roman"/>
          <w:b/>
          <w:sz w:val="24"/>
          <w:szCs w:val="24"/>
        </w:rPr>
        <w:t>Déclenchements :</w:t>
      </w:r>
    </w:p>
    <w:p w:rsidR="007D2CBB" w:rsidRDefault="007D2CBB" w:rsidP="00EA1063">
      <w:pPr>
        <w:shd w:val="clear" w:color="auto" w:fill="FFFFFF"/>
        <w:spacing w:before="295" w:line="317" w:lineRule="exact"/>
        <w:ind w:right="36"/>
        <w:jc w:val="both"/>
        <w:rPr>
          <w:rFonts w:ascii="Times New Roman" w:hAnsi="Times New Roman"/>
          <w:sz w:val="24"/>
          <w:szCs w:val="24"/>
        </w:rPr>
      </w:pPr>
      <w:r>
        <w:rPr>
          <w:rFonts w:ascii="Times New Roman" w:hAnsi="Times New Roman"/>
          <w:sz w:val="24"/>
          <w:szCs w:val="24"/>
        </w:rPr>
        <w:t xml:space="preserve">Mondial Assistance indique avoir recensé </w:t>
      </w:r>
      <w:r w:rsidRPr="00C754E4">
        <w:rPr>
          <w:rFonts w:ascii="Times New Roman" w:hAnsi="Times New Roman"/>
          <w:i/>
          <w:sz w:val="24"/>
          <w:szCs w:val="24"/>
        </w:rPr>
        <w:t>N</w:t>
      </w:r>
      <w:r>
        <w:rPr>
          <w:rFonts w:ascii="Times New Roman" w:hAnsi="Times New Roman"/>
          <w:sz w:val="24"/>
          <w:szCs w:val="24"/>
        </w:rPr>
        <w:t xml:space="preserve"> déclenchements depuis le dernier COPIL soit entre (date) et (date)</w:t>
      </w:r>
    </w:p>
    <w:p w:rsidR="007D2CBB" w:rsidRDefault="007D2CBB" w:rsidP="00EA1063">
      <w:pPr>
        <w:shd w:val="clear" w:color="auto" w:fill="FFFFFF"/>
        <w:spacing w:before="295" w:line="317" w:lineRule="exact"/>
        <w:ind w:right="36"/>
        <w:jc w:val="both"/>
        <w:rPr>
          <w:rFonts w:ascii="Times New Roman" w:hAnsi="Times New Roman"/>
          <w:sz w:val="24"/>
          <w:szCs w:val="24"/>
        </w:rPr>
      </w:pPr>
      <w:r>
        <w:rPr>
          <w:rFonts w:ascii="Times New Roman" w:hAnsi="Times New Roman"/>
          <w:sz w:val="24"/>
          <w:szCs w:val="24"/>
        </w:rPr>
        <w:t>Pour X d’entre eux il s’agissait de fausses manipulations</w:t>
      </w:r>
      <w:r w:rsidR="003834AF">
        <w:rPr>
          <w:rFonts w:ascii="Times New Roman" w:hAnsi="Times New Roman"/>
          <w:sz w:val="24"/>
          <w:szCs w:val="24"/>
        </w:rPr>
        <w:t>.</w:t>
      </w:r>
      <w:r>
        <w:rPr>
          <w:rFonts w:ascii="Times New Roman" w:hAnsi="Times New Roman"/>
          <w:sz w:val="24"/>
          <w:szCs w:val="24"/>
        </w:rPr>
        <w:t> ;</w:t>
      </w:r>
    </w:p>
    <w:p w:rsidR="007D2CBB" w:rsidRDefault="007D2CBB" w:rsidP="00EA1063">
      <w:pPr>
        <w:shd w:val="clear" w:color="auto" w:fill="FFFFFF"/>
        <w:spacing w:before="295" w:line="317" w:lineRule="exact"/>
        <w:ind w:right="36"/>
        <w:jc w:val="both"/>
        <w:rPr>
          <w:rFonts w:ascii="Times New Roman" w:hAnsi="Times New Roman"/>
          <w:sz w:val="24"/>
          <w:szCs w:val="24"/>
        </w:rPr>
      </w:pPr>
      <w:r>
        <w:rPr>
          <w:rFonts w:ascii="Times New Roman" w:hAnsi="Times New Roman"/>
          <w:sz w:val="24"/>
          <w:szCs w:val="24"/>
        </w:rPr>
        <w:t>N déclenchements ont donné lieu à une intervention des forces de l’ordre …</w:t>
      </w:r>
    </w:p>
    <w:p w:rsidR="00C754E4" w:rsidRDefault="00EA1063" w:rsidP="00EA1063">
      <w:pPr>
        <w:shd w:val="clear" w:color="auto" w:fill="FFFFFF"/>
        <w:spacing w:before="295" w:line="317" w:lineRule="exact"/>
        <w:ind w:right="36"/>
        <w:jc w:val="both"/>
        <w:rPr>
          <w:rFonts w:ascii="Times New Roman" w:eastAsia="Times New Roman" w:hAnsi="Times New Roman"/>
          <w:sz w:val="24"/>
          <w:szCs w:val="24"/>
        </w:rPr>
      </w:pPr>
      <w:r>
        <w:rPr>
          <w:rFonts w:ascii="Times New Roman" w:hAnsi="Times New Roman"/>
          <w:sz w:val="24"/>
          <w:szCs w:val="24"/>
        </w:rPr>
        <w:t xml:space="preserve">Le DDSP et le DDGN </w:t>
      </w:r>
      <w:r w:rsidR="007D2CBB">
        <w:rPr>
          <w:rFonts w:ascii="Times New Roman" w:hAnsi="Times New Roman"/>
          <w:sz w:val="24"/>
          <w:szCs w:val="24"/>
        </w:rPr>
        <w:t>détaillent les temps</w:t>
      </w:r>
      <w:r>
        <w:rPr>
          <w:rFonts w:ascii="Times New Roman" w:eastAsia="Times New Roman" w:hAnsi="Times New Roman"/>
          <w:sz w:val="24"/>
          <w:szCs w:val="24"/>
        </w:rPr>
        <w:t xml:space="preserve"> d</w:t>
      </w:r>
      <w:r w:rsidR="00C754E4">
        <w:rPr>
          <w:rFonts w:ascii="Times New Roman" w:eastAsia="Times New Roman" w:hAnsi="Times New Roman"/>
          <w:sz w:val="24"/>
          <w:szCs w:val="24"/>
        </w:rPr>
        <w:t>’</w:t>
      </w:r>
      <w:r>
        <w:rPr>
          <w:rFonts w:ascii="Times New Roman" w:eastAsia="Times New Roman" w:hAnsi="Times New Roman"/>
          <w:sz w:val="24"/>
          <w:szCs w:val="24"/>
        </w:rPr>
        <w:t>interventions</w:t>
      </w:r>
      <w:r w:rsidR="007D2CBB">
        <w:rPr>
          <w:rFonts w:ascii="Times New Roman" w:eastAsia="Times New Roman" w:hAnsi="Times New Roman"/>
          <w:sz w:val="24"/>
          <w:szCs w:val="24"/>
        </w:rPr>
        <w:t xml:space="preserve"> et évoquent les circonstances des déplacements</w:t>
      </w:r>
      <w:r>
        <w:rPr>
          <w:rFonts w:ascii="Times New Roman" w:eastAsia="Times New Roman" w:hAnsi="Times New Roman"/>
          <w:sz w:val="24"/>
          <w:szCs w:val="24"/>
        </w:rPr>
        <w:t>.</w:t>
      </w:r>
    </w:p>
    <w:p w:rsidR="00C754E4" w:rsidRPr="00C754E4" w:rsidRDefault="00C754E4" w:rsidP="00C754E4">
      <w:pPr>
        <w:pStyle w:val="Paragraphedeliste"/>
        <w:numPr>
          <w:ilvl w:val="0"/>
          <w:numId w:val="2"/>
        </w:numPr>
        <w:shd w:val="clear" w:color="auto" w:fill="FFFFFF"/>
        <w:spacing w:before="295" w:line="317" w:lineRule="exact"/>
        <w:ind w:right="36"/>
        <w:jc w:val="both"/>
        <w:rPr>
          <w:rFonts w:ascii="Times New Roman" w:eastAsia="Times New Roman" w:hAnsi="Times New Roman"/>
          <w:b/>
          <w:bCs/>
          <w:sz w:val="24"/>
          <w:szCs w:val="24"/>
        </w:rPr>
      </w:pPr>
      <w:r w:rsidRPr="00C754E4">
        <w:rPr>
          <w:rFonts w:ascii="Times New Roman" w:eastAsia="Times New Roman" w:hAnsi="Times New Roman"/>
          <w:b/>
          <w:bCs/>
        </w:rPr>
        <w:t xml:space="preserve"> </w:t>
      </w:r>
      <w:r w:rsidRPr="00C754E4">
        <w:rPr>
          <w:rFonts w:ascii="Times New Roman" w:eastAsia="Times New Roman" w:hAnsi="Times New Roman"/>
          <w:b/>
          <w:bCs/>
          <w:sz w:val="24"/>
          <w:szCs w:val="24"/>
        </w:rPr>
        <w:t>Questions diverses :</w:t>
      </w:r>
    </w:p>
    <w:p w:rsidR="00C754E4" w:rsidRPr="00C754E4" w:rsidRDefault="00C754E4" w:rsidP="00C754E4">
      <w:pPr>
        <w:shd w:val="clear" w:color="auto" w:fill="FFFFFF"/>
        <w:spacing w:before="295" w:line="317" w:lineRule="exact"/>
        <w:ind w:right="36"/>
        <w:jc w:val="both"/>
        <w:rPr>
          <w:rFonts w:ascii="Times New Roman" w:eastAsia="Times New Roman" w:hAnsi="Times New Roman"/>
          <w:sz w:val="24"/>
          <w:szCs w:val="24"/>
        </w:rPr>
      </w:pPr>
      <w:r w:rsidRPr="00C754E4">
        <w:rPr>
          <w:rFonts w:ascii="Times New Roman" w:eastAsia="Times New Roman" w:hAnsi="Times New Roman"/>
          <w:bCs/>
          <w:sz w:val="24"/>
          <w:szCs w:val="24"/>
        </w:rPr>
        <w:t xml:space="preserve">L'association d'aide aux victimes référente TGD fait état d’échanges quotidiens avec les AAV sur les situations et sur le suivi des bénéficiaires. </w:t>
      </w:r>
      <w:r w:rsidRPr="00C754E4">
        <w:rPr>
          <w:rFonts w:ascii="Times New Roman" w:eastAsia="Times New Roman" w:hAnsi="Times New Roman"/>
          <w:sz w:val="24"/>
          <w:szCs w:val="24"/>
        </w:rPr>
        <w:t>Ce suivi se fait même au- delà du téléphone grave danger sur des situations particulières qui ne rentrent pas dans le dispositif. Ils soulignent un réel travail partenarial de terrain.</w:t>
      </w:r>
    </w:p>
    <w:p w:rsidR="00C754E4" w:rsidRPr="00C754E4" w:rsidRDefault="00C754E4" w:rsidP="00C754E4">
      <w:pPr>
        <w:shd w:val="clear" w:color="auto" w:fill="FFFFFF"/>
        <w:spacing w:before="295" w:line="317" w:lineRule="exact"/>
        <w:ind w:right="36"/>
        <w:jc w:val="both"/>
        <w:rPr>
          <w:rFonts w:ascii="Times New Roman" w:eastAsia="Times New Roman" w:hAnsi="Times New Roman"/>
          <w:sz w:val="24"/>
          <w:szCs w:val="24"/>
        </w:rPr>
      </w:pPr>
      <w:r w:rsidRPr="00C754E4">
        <w:rPr>
          <w:rFonts w:ascii="Times New Roman" w:eastAsia="Times New Roman" w:hAnsi="Times New Roman"/>
          <w:sz w:val="24"/>
          <w:szCs w:val="24"/>
        </w:rPr>
        <w:t>Le SPIP souligne le lien permanent et la disponibilité du parquet ainsi que l'association d'aide aux victimes référente. En revanche, le suivi des interdictions de contact et de paraître doit être amélioré par la tenue d’un tableau des condamnés concernés.</w:t>
      </w:r>
    </w:p>
    <w:p w:rsidR="007D6108" w:rsidRDefault="007D6108" w:rsidP="00EA1063">
      <w:pPr>
        <w:shd w:val="clear" w:color="auto" w:fill="FFFFFF"/>
        <w:spacing w:before="295" w:line="317" w:lineRule="exact"/>
        <w:ind w:right="36"/>
        <w:jc w:val="both"/>
        <w:rPr>
          <w:rFonts w:ascii="Times New Roman" w:eastAsia="Times New Roman" w:hAnsi="Times New Roman"/>
          <w:sz w:val="24"/>
          <w:szCs w:val="24"/>
        </w:rPr>
      </w:pPr>
    </w:p>
    <w:p w:rsidR="00EA1063" w:rsidRDefault="00EA1063" w:rsidP="00EA1063">
      <w:pPr>
        <w:shd w:val="clear" w:color="auto" w:fill="FFFFFF"/>
        <w:spacing w:before="338"/>
        <w:ind w:left="43"/>
        <w:rPr>
          <w:rFonts w:ascii="Times New Roman" w:eastAsia="Times New Roman" w:hAnsi="Times New Roman"/>
          <w:i/>
          <w:sz w:val="24"/>
          <w:szCs w:val="24"/>
        </w:rPr>
      </w:pPr>
      <w:r w:rsidRPr="00EA1063">
        <w:rPr>
          <w:rFonts w:ascii="Times New Roman" w:eastAsia="Times New Roman" w:hAnsi="Times New Roman"/>
          <w:b/>
          <w:sz w:val="24"/>
          <w:szCs w:val="24"/>
        </w:rPr>
        <w:t>La prochaine date de réunion du COPIL est fixée au</w:t>
      </w:r>
      <w:r>
        <w:rPr>
          <w:rFonts w:ascii="Times New Roman" w:eastAsia="Times New Roman" w:hAnsi="Times New Roman"/>
          <w:sz w:val="24"/>
          <w:szCs w:val="24"/>
        </w:rPr>
        <w:t xml:space="preserve"> </w:t>
      </w:r>
      <w:r>
        <w:rPr>
          <w:rFonts w:ascii="Times New Roman" w:eastAsia="Times New Roman" w:hAnsi="Times New Roman"/>
          <w:i/>
          <w:sz w:val="24"/>
          <w:szCs w:val="24"/>
        </w:rPr>
        <w:t>(date).</w:t>
      </w:r>
    </w:p>
    <w:p w:rsidR="00EA1063" w:rsidRDefault="00EA1063" w:rsidP="00EA1063">
      <w:pPr>
        <w:shd w:val="clear" w:color="auto" w:fill="FFFFFF"/>
        <w:spacing w:before="338"/>
        <w:ind w:left="43"/>
        <w:jc w:val="both"/>
        <w:rPr>
          <w:rFonts w:ascii="Times New Roman" w:eastAsia="Times New Roman" w:hAnsi="Times New Roman"/>
          <w:sz w:val="24"/>
          <w:szCs w:val="24"/>
        </w:rPr>
      </w:pPr>
      <w:r>
        <w:rPr>
          <w:rFonts w:ascii="Times New Roman" w:eastAsia="Times New Roman" w:hAnsi="Times New Roman"/>
          <w:sz w:val="24"/>
          <w:szCs w:val="24"/>
        </w:rPr>
        <w:t xml:space="preserve">La proposition d’ordre du jour fera l’objet d’un envoi par </w:t>
      </w:r>
      <w:r w:rsidR="007D2CBB">
        <w:rPr>
          <w:rFonts w:ascii="Times New Roman" w:eastAsia="Times New Roman" w:hAnsi="Times New Roman"/>
          <w:sz w:val="24"/>
          <w:szCs w:val="24"/>
        </w:rPr>
        <w:t>l’association d’aide aux victimes</w:t>
      </w:r>
      <w:r>
        <w:rPr>
          <w:rFonts w:ascii="Times New Roman" w:eastAsia="Times New Roman" w:hAnsi="Times New Roman"/>
          <w:sz w:val="24"/>
          <w:szCs w:val="24"/>
        </w:rPr>
        <w:t xml:space="preserve"> à l’ensemble des participants au moins 15 jours avant la date de réunion fixée</w:t>
      </w:r>
    </w:p>
    <w:p w:rsidR="00EB1973" w:rsidRDefault="00EB1973"/>
    <w:sectPr w:rsidR="00EB19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47" w:rsidRDefault="00857247" w:rsidP="00E3479C">
      <w:pPr>
        <w:spacing w:after="0" w:line="240" w:lineRule="auto"/>
      </w:pPr>
      <w:r>
        <w:separator/>
      </w:r>
    </w:p>
  </w:endnote>
  <w:endnote w:type="continuationSeparator" w:id="0">
    <w:p w:rsidR="00857247" w:rsidRDefault="00857247" w:rsidP="00E3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02978"/>
      <w:docPartObj>
        <w:docPartGallery w:val="Page Numbers (Bottom of Page)"/>
        <w:docPartUnique/>
      </w:docPartObj>
    </w:sdtPr>
    <w:sdtEndPr/>
    <w:sdtContent>
      <w:p w:rsidR="00665FD0" w:rsidRDefault="00665FD0">
        <w:pPr>
          <w:pStyle w:val="Pieddepage"/>
          <w:jc w:val="right"/>
        </w:pPr>
        <w:r>
          <w:fldChar w:fldCharType="begin"/>
        </w:r>
        <w:r>
          <w:instrText>PAGE   \* MERGEFORMAT</w:instrText>
        </w:r>
        <w:r>
          <w:fldChar w:fldCharType="separate"/>
        </w:r>
        <w:r w:rsidR="00CF7E59">
          <w:rPr>
            <w:noProof/>
          </w:rPr>
          <w:t>1</w:t>
        </w:r>
        <w:r>
          <w:fldChar w:fldCharType="end"/>
        </w:r>
      </w:p>
    </w:sdtContent>
  </w:sdt>
  <w:p w:rsidR="00665FD0" w:rsidRDefault="00665F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47" w:rsidRDefault="00857247" w:rsidP="00E3479C">
      <w:pPr>
        <w:spacing w:after="0" w:line="240" w:lineRule="auto"/>
      </w:pPr>
      <w:r>
        <w:separator/>
      </w:r>
    </w:p>
  </w:footnote>
  <w:footnote w:type="continuationSeparator" w:id="0">
    <w:p w:rsidR="00857247" w:rsidRDefault="00857247" w:rsidP="00E3479C">
      <w:pPr>
        <w:spacing w:after="0" w:line="240" w:lineRule="auto"/>
      </w:pPr>
      <w:r>
        <w:continuationSeparator/>
      </w:r>
    </w:p>
  </w:footnote>
  <w:footnote w:id="1">
    <w:p w:rsidR="00665FD0" w:rsidRPr="00F04FCC" w:rsidRDefault="00665FD0" w:rsidP="00F04FCC">
      <w:pPr>
        <w:pStyle w:val="Notedebasdepage"/>
        <w:jc w:val="both"/>
        <w:rPr>
          <w:rFonts w:ascii="Times New Roman" w:hAnsi="Times New Roman"/>
        </w:rPr>
      </w:pPr>
      <w:r w:rsidRPr="00F04FCC">
        <w:rPr>
          <w:rStyle w:val="Appelnotedebasdep"/>
          <w:rFonts w:ascii="Times New Roman" w:hAnsi="Times New Roman"/>
        </w:rPr>
        <w:footnoteRef/>
      </w:r>
      <w:r w:rsidRPr="00F04FCC">
        <w:rPr>
          <w:rFonts w:ascii="Times New Roman" w:hAnsi="Times New Roman"/>
        </w:rPr>
        <w:t xml:space="preserve"> Compte rendu rédigé par</w:t>
      </w:r>
      <w:r w:rsidR="00970BD8">
        <w:rPr>
          <w:rFonts w:ascii="Times New Roman" w:hAnsi="Times New Roman"/>
        </w:rPr>
        <w:t xml:space="preserve"> M ou Mme x, de </w:t>
      </w:r>
      <w:r w:rsidRPr="00F04FCC">
        <w:rPr>
          <w:rFonts w:ascii="Times New Roman" w:hAnsi="Times New Roman"/>
        </w:rPr>
        <w:t xml:space="preserve">l’association </w:t>
      </w:r>
      <w:r w:rsidR="00970BD8">
        <w:rPr>
          <w:rFonts w:ascii="Times New Roman" w:hAnsi="Times New Roman"/>
        </w:rPr>
        <w:t>porteuse du projet</w:t>
      </w:r>
      <w:r w:rsidRPr="00F04FCC">
        <w:rPr>
          <w:rFonts w:ascii="Times New Roman" w:hAnsi="Times New Roman"/>
        </w:rPr>
        <w:t>.</w:t>
      </w:r>
    </w:p>
  </w:footnote>
  <w:footnote w:id="2">
    <w:p w:rsidR="00C754E4" w:rsidRDefault="00C754E4" w:rsidP="00F04FCC">
      <w:pPr>
        <w:pStyle w:val="Notedebasdepage"/>
        <w:jc w:val="both"/>
      </w:pPr>
      <w:r w:rsidRPr="00F04FCC">
        <w:rPr>
          <w:rStyle w:val="Appelnotedebasdep"/>
          <w:rFonts w:ascii="Times New Roman" w:hAnsi="Times New Roman"/>
        </w:rPr>
        <w:footnoteRef/>
      </w:r>
      <w:r w:rsidRPr="00F04FCC">
        <w:rPr>
          <w:rFonts w:ascii="Times New Roman" w:hAnsi="Times New Roman"/>
        </w:rPr>
        <w:t xml:space="preserve"> Cette liste est indicative et relève de l’appréciation du procureur de la République et des partenaires signataires de la convention TGD.</w:t>
      </w:r>
    </w:p>
  </w:footnote>
  <w:footnote w:id="3">
    <w:p w:rsidR="00E3479C" w:rsidRPr="00F04FCC" w:rsidRDefault="00E3479C" w:rsidP="00F04FCC">
      <w:pPr>
        <w:pStyle w:val="Notedebasdepage"/>
        <w:jc w:val="both"/>
        <w:rPr>
          <w:rFonts w:ascii="Times New Roman" w:hAnsi="Times New Roman"/>
        </w:rPr>
      </w:pPr>
      <w:r w:rsidRPr="00F04FCC">
        <w:rPr>
          <w:rStyle w:val="Appelnotedebasdep"/>
          <w:rFonts w:ascii="Times New Roman" w:hAnsi="Times New Roman"/>
        </w:rPr>
        <w:footnoteRef/>
      </w:r>
      <w:r w:rsidRPr="00F04FCC">
        <w:rPr>
          <w:rFonts w:ascii="Times New Roman" w:hAnsi="Times New Roman"/>
        </w:rPr>
        <w:t xml:space="preserve"> Il est préconisé de conserver l’anonymat des bénéficiaires, y compris dans les rapports du COPIL, en utilisant la première lettre du nom de famille et faisant référence au numéro de TGD attribué (sur 15 terminaux dans </w:t>
      </w:r>
      <w:r w:rsidR="007D2CBB" w:rsidRPr="00F04FCC">
        <w:rPr>
          <w:rFonts w:ascii="Times New Roman" w:hAnsi="Times New Roman"/>
        </w:rPr>
        <w:t>la juridiction</w:t>
      </w:r>
      <w:r w:rsidRPr="00F04FCC">
        <w:rPr>
          <w:rFonts w:ascii="Times New Roman" w:hAnsi="Times New Roman"/>
        </w:rPr>
        <w:t>, les bénéficiaires sont numérotées de 1 à 15) par exemple.</w:t>
      </w:r>
    </w:p>
  </w:footnote>
  <w:footnote w:id="4">
    <w:p w:rsidR="00C754E4" w:rsidRDefault="00C754E4" w:rsidP="00F04FCC">
      <w:pPr>
        <w:pStyle w:val="Notedebasdepage"/>
        <w:jc w:val="both"/>
      </w:pPr>
      <w:r w:rsidRPr="00F04FCC">
        <w:rPr>
          <w:rStyle w:val="Appelnotedebasdep"/>
          <w:rFonts w:ascii="Times New Roman" w:hAnsi="Times New Roman"/>
        </w:rPr>
        <w:footnoteRef/>
      </w:r>
      <w:r w:rsidRPr="00F04FCC">
        <w:rPr>
          <w:rFonts w:ascii="Times New Roman" w:hAnsi="Times New Roman"/>
        </w:rPr>
        <w:t xml:space="preserve"> Ce bilan n’est pas nécessairement systématique mais peut s’avérer intéressant une à deux fois par 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1442C0"/>
    <w:lvl w:ilvl="0">
      <w:numFmt w:val="bullet"/>
      <w:lvlText w:val="*"/>
      <w:lvlJc w:val="left"/>
      <w:pPr>
        <w:ind w:left="0" w:firstLine="0"/>
      </w:pPr>
    </w:lvl>
  </w:abstractNum>
  <w:abstractNum w:abstractNumId="1">
    <w:nsid w:val="2BA45C29"/>
    <w:multiLevelType w:val="hybridMultilevel"/>
    <w:tmpl w:val="5322B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63"/>
    <w:rsid w:val="000D1CEF"/>
    <w:rsid w:val="0013351F"/>
    <w:rsid w:val="00164FA0"/>
    <w:rsid w:val="0018045A"/>
    <w:rsid w:val="00265FD9"/>
    <w:rsid w:val="002E09A0"/>
    <w:rsid w:val="003834AF"/>
    <w:rsid w:val="00440D02"/>
    <w:rsid w:val="00645C87"/>
    <w:rsid w:val="00665FD0"/>
    <w:rsid w:val="007D2CBB"/>
    <w:rsid w:val="007D6108"/>
    <w:rsid w:val="0082259B"/>
    <w:rsid w:val="00857247"/>
    <w:rsid w:val="00970BD8"/>
    <w:rsid w:val="00B65CF7"/>
    <w:rsid w:val="00C754E4"/>
    <w:rsid w:val="00CF7E59"/>
    <w:rsid w:val="00E3479C"/>
    <w:rsid w:val="00E87EF9"/>
    <w:rsid w:val="00E917A2"/>
    <w:rsid w:val="00EA1063"/>
    <w:rsid w:val="00EB1973"/>
    <w:rsid w:val="00ED77C9"/>
    <w:rsid w:val="00F04FCC"/>
    <w:rsid w:val="00FC0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09A0"/>
    <w:pPr>
      <w:ind w:left="720"/>
      <w:contextualSpacing/>
    </w:pPr>
  </w:style>
  <w:style w:type="character" w:styleId="Marquedecommentaire">
    <w:name w:val="annotation reference"/>
    <w:basedOn w:val="Policepardfaut"/>
    <w:uiPriority w:val="99"/>
    <w:semiHidden/>
    <w:unhideWhenUsed/>
    <w:rsid w:val="00164FA0"/>
    <w:rPr>
      <w:sz w:val="16"/>
      <w:szCs w:val="16"/>
    </w:rPr>
  </w:style>
  <w:style w:type="paragraph" w:styleId="Commentaire">
    <w:name w:val="annotation text"/>
    <w:basedOn w:val="Normal"/>
    <w:link w:val="CommentaireCar"/>
    <w:uiPriority w:val="99"/>
    <w:semiHidden/>
    <w:unhideWhenUsed/>
    <w:rsid w:val="00164FA0"/>
    <w:pPr>
      <w:spacing w:line="240" w:lineRule="auto"/>
    </w:pPr>
    <w:rPr>
      <w:sz w:val="20"/>
      <w:szCs w:val="20"/>
    </w:rPr>
  </w:style>
  <w:style w:type="character" w:customStyle="1" w:styleId="CommentaireCar">
    <w:name w:val="Commentaire Car"/>
    <w:basedOn w:val="Policepardfaut"/>
    <w:link w:val="Commentaire"/>
    <w:uiPriority w:val="99"/>
    <w:semiHidden/>
    <w:rsid w:val="00164FA0"/>
    <w:rPr>
      <w:lang w:eastAsia="en-US"/>
    </w:rPr>
  </w:style>
  <w:style w:type="paragraph" w:styleId="Objetducommentaire">
    <w:name w:val="annotation subject"/>
    <w:basedOn w:val="Commentaire"/>
    <w:next w:val="Commentaire"/>
    <w:link w:val="ObjetducommentaireCar"/>
    <w:uiPriority w:val="99"/>
    <w:semiHidden/>
    <w:unhideWhenUsed/>
    <w:rsid w:val="00164FA0"/>
    <w:rPr>
      <w:b/>
      <w:bCs/>
    </w:rPr>
  </w:style>
  <w:style w:type="character" w:customStyle="1" w:styleId="ObjetducommentaireCar">
    <w:name w:val="Objet du commentaire Car"/>
    <w:basedOn w:val="CommentaireCar"/>
    <w:link w:val="Objetducommentaire"/>
    <w:uiPriority w:val="99"/>
    <w:semiHidden/>
    <w:rsid w:val="00164FA0"/>
    <w:rPr>
      <w:b/>
      <w:bCs/>
      <w:lang w:eastAsia="en-US"/>
    </w:rPr>
  </w:style>
  <w:style w:type="paragraph" w:styleId="Textedebulles">
    <w:name w:val="Balloon Text"/>
    <w:basedOn w:val="Normal"/>
    <w:link w:val="TextedebullesCar"/>
    <w:uiPriority w:val="99"/>
    <w:semiHidden/>
    <w:unhideWhenUsed/>
    <w:rsid w:val="00164F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4FA0"/>
    <w:rPr>
      <w:rFonts w:ascii="Tahoma" w:hAnsi="Tahoma" w:cs="Tahoma"/>
      <w:sz w:val="16"/>
      <w:szCs w:val="16"/>
      <w:lang w:eastAsia="en-US"/>
    </w:rPr>
  </w:style>
  <w:style w:type="paragraph" w:styleId="Notedebasdepage">
    <w:name w:val="footnote text"/>
    <w:basedOn w:val="Normal"/>
    <w:link w:val="NotedebasdepageCar"/>
    <w:uiPriority w:val="99"/>
    <w:semiHidden/>
    <w:unhideWhenUsed/>
    <w:rsid w:val="00E347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479C"/>
    <w:rPr>
      <w:lang w:eastAsia="en-US"/>
    </w:rPr>
  </w:style>
  <w:style w:type="character" w:styleId="Appelnotedebasdep">
    <w:name w:val="footnote reference"/>
    <w:basedOn w:val="Policepardfaut"/>
    <w:uiPriority w:val="99"/>
    <w:semiHidden/>
    <w:unhideWhenUsed/>
    <w:rsid w:val="00E3479C"/>
    <w:rPr>
      <w:vertAlign w:val="superscript"/>
    </w:rPr>
  </w:style>
  <w:style w:type="paragraph" w:styleId="En-tte">
    <w:name w:val="header"/>
    <w:basedOn w:val="Normal"/>
    <w:link w:val="En-tteCar"/>
    <w:uiPriority w:val="99"/>
    <w:unhideWhenUsed/>
    <w:rsid w:val="00665FD0"/>
    <w:pPr>
      <w:tabs>
        <w:tab w:val="center" w:pos="4536"/>
        <w:tab w:val="right" w:pos="9072"/>
      </w:tabs>
      <w:spacing w:after="0" w:line="240" w:lineRule="auto"/>
    </w:pPr>
  </w:style>
  <w:style w:type="character" w:customStyle="1" w:styleId="En-tteCar">
    <w:name w:val="En-tête Car"/>
    <w:basedOn w:val="Policepardfaut"/>
    <w:link w:val="En-tte"/>
    <w:uiPriority w:val="99"/>
    <w:rsid w:val="00665FD0"/>
    <w:rPr>
      <w:sz w:val="22"/>
      <w:szCs w:val="22"/>
      <w:lang w:eastAsia="en-US"/>
    </w:rPr>
  </w:style>
  <w:style w:type="paragraph" w:styleId="Pieddepage">
    <w:name w:val="footer"/>
    <w:basedOn w:val="Normal"/>
    <w:link w:val="PieddepageCar"/>
    <w:uiPriority w:val="99"/>
    <w:unhideWhenUsed/>
    <w:rsid w:val="00665F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FD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09A0"/>
    <w:pPr>
      <w:ind w:left="720"/>
      <w:contextualSpacing/>
    </w:pPr>
  </w:style>
  <w:style w:type="character" w:styleId="Marquedecommentaire">
    <w:name w:val="annotation reference"/>
    <w:basedOn w:val="Policepardfaut"/>
    <w:uiPriority w:val="99"/>
    <w:semiHidden/>
    <w:unhideWhenUsed/>
    <w:rsid w:val="00164FA0"/>
    <w:rPr>
      <w:sz w:val="16"/>
      <w:szCs w:val="16"/>
    </w:rPr>
  </w:style>
  <w:style w:type="paragraph" w:styleId="Commentaire">
    <w:name w:val="annotation text"/>
    <w:basedOn w:val="Normal"/>
    <w:link w:val="CommentaireCar"/>
    <w:uiPriority w:val="99"/>
    <w:semiHidden/>
    <w:unhideWhenUsed/>
    <w:rsid w:val="00164FA0"/>
    <w:pPr>
      <w:spacing w:line="240" w:lineRule="auto"/>
    </w:pPr>
    <w:rPr>
      <w:sz w:val="20"/>
      <w:szCs w:val="20"/>
    </w:rPr>
  </w:style>
  <w:style w:type="character" w:customStyle="1" w:styleId="CommentaireCar">
    <w:name w:val="Commentaire Car"/>
    <w:basedOn w:val="Policepardfaut"/>
    <w:link w:val="Commentaire"/>
    <w:uiPriority w:val="99"/>
    <w:semiHidden/>
    <w:rsid w:val="00164FA0"/>
    <w:rPr>
      <w:lang w:eastAsia="en-US"/>
    </w:rPr>
  </w:style>
  <w:style w:type="paragraph" w:styleId="Objetducommentaire">
    <w:name w:val="annotation subject"/>
    <w:basedOn w:val="Commentaire"/>
    <w:next w:val="Commentaire"/>
    <w:link w:val="ObjetducommentaireCar"/>
    <w:uiPriority w:val="99"/>
    <w:semiHidden/>
    <w:unhideWhenUsed/>
    <w:rsid w:val="00164FA0"/>
    <w:rPr>
      <w:b/>
      <w:bCs/>
    </w:rPr>
  </w:style>
  <w:style w:type="character" w:customStyle="1" w:styleId="ObjetducommentaireCar">
    <w:name w:val="Objet du commentaire Car"/>
    <w:basedOn w:val="CommentaireCar"/>
    <w:link w:val="Objetducommentaire"/>
    <w:uiPriority w:val="99"/>
    <w:semiHidden/>
    <w:rsid w:val="00164FA0"/>
    <w:rPr>
      <w:b/>
      <w:bCs/>
      <w:lang w:eastAsia="en-US"/>
    </w:rPr>
  </w:style>
  <w:style w:type="paragraph" w:styleId="Textedebulles">
    <w:name w:val="Balloon Text"/>
    <w:basedOn w:val="Normal"/>
    <w:link w:val="TextedebullesCar"/>
    <w:uiPriority w:val="99"/>
    <w:semiHidden/>
    <w:unhideWhenUsed/>
    <w:rsid w:val="00164F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4FA0"/>
    <w:rPr>
      <w:rFonts w:ascii="Tahoma" w:hAnsi="Tahoma" w:cs="Tahoma"/>
      <w:sz w:val="16"/>
      <w:szCs w:val="16"/>
      <w:lang w:eastAsia="en-US"/>
    </w:rPr>
  </w:style>
  <w:style w:type="paragraph" w:styleId="Notedebasdepage">
    <w:name w:val="footnote text"/>
    <w:basedOn w:val="Normal"/>
    <w:link w:val="NotedebasdepageCar"/>
    <w:uiPriority w:val="99"/>
    <w:semiHidden/>
    <w:unhideWhenUsed/>
    <w:rsid w:val="00E347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479C"/>
    <w:rPr>
      <w:lang w:eastAsia="en-US"/>
    </w:rPr>
  </w:style>
  <w:style w:type="character" w:styleId="Appelnotedebasdep">
    <w:name w:val="footnote reference"/>
    <w:basedOn w:val="Policepardfaut"/>
    <w:uiPriority w:val="99"/>
    <w:semiHidden/>
    <w:unhideWhenUsed/>
    <w:rsid w:val="00E3479C"/>
    <w:rPr>
      <w:vertAlign w:val="superscript"/>
    </w:rPr>
  </w:style>
  <w:style w:type="paragraph" w:styleId="En-tte">
    <w:name w:val="header"/>
    <w:basedOn w:val="Normal"/>
    <w:link w:val="En-tteCar"/>
    <w:uiPriority w:val="99"/>
    <w:unhideWhenUsed/>
    <w:rsid w:val="00665FD0"/>
    <w:pPr>
      <w:tabs>
        <w:tab w:val="center" w:pos="4536"/>
        <w:tab w:val="right" w:pos="9072"/>
      </w:tabs>
      <w:spacing w:after="0" w:line="240" w:lineRule="auto"/>
    </w:pPr>
  </w:style>
  <w:style w:type="character" w:customStyle="1" w:styleId="En-tteCar">
    <w:name w:val="En-tête Car"/>
    <w:basedOn w:val="Policepardfaut"/>
    <w:link w:val="En-tte"/>
    <w:uiPriority w:val="99"/>
    <w:rsid w:val="00665FD0"/>
    <w:rPr>
      <w:sz w:val="22"/>
      <w:szCs w:val="22"/>
      <w:lang w:eastAsia="en-US"/>
    </w:rPr>
  </w:style>
  <w:style w:type="paragraph" w:styleId="Pieddepage">
    <w:name w:val="footer"/>
    <w:basedOn w:val="Normal"/>
    <w:link w:val="PieddepageCar"/>
    <w:uiPriority w:val="99"/>
    <w:unhideWhenUsed/>
    <w:rsid w:val="00665F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F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D431-1C73-4C2C-9145-AFBDD14B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CHOLLET Marine</dc:creator>
  <cp:lastModifiedBy>Administrateur</cp:lastModifiedBy>
  <cp:revision>2</cp:revision>
  <dcterms:created xsi:type="dcterms:W3CDTF">2019-05-28T14:01:00Z</dcterms:created>
  <dcterms:modified xsi:type="dcterms:W3CDTF">2019-05-28T14:01:00Z</dcterms:modified>
</cp:coreProperties>
</file>